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70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河南省科学技术奖公示内容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项目名称：阿尔兹海默病关键病理调控机制及早期干预措施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提名者：河南省教育厅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提名等级：科技进步二等奖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主要</w:t>
      </w:r>
      <w:r>
        <w:rPr>
          <w:rFonts w:hint="eastAsia" w:ascii="宋体" w:hAnsi="宋体"/>
          <w:sz w:val="28"/>
          <w:szCs w:val="28"/>
        </w:rPr>
        <w:t>知识产权和标准规范目录，</w:t>
      </w:r>
      <w:r>
        <w:rPr>
          <w:rFonts w:hint="eastAsia" w:ascii="宋体" w:hAnsi="宋体" w:cs="宋体"/>
          <w:sz w:val="28"/>
          <w:szCs w:val="28"/>
        </w:rPr>
        <w:t>论文（专著）目录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rPr>
          <w:rFonts w:ascii="Arial" w:hAnsi="Arial" w:eastAsia="楷体" w:cs="Arial"/>
          <w:sz w:val="20"/>
          <w:szCs w:val="24"/>
        </w:rPr>
      </w:pPr>
      <w:bookmarkStart w:id="0" w:name="OLE_LINK15"/>
      <w:bookmarkStart w:id="1" w:name="OLE_LINK13"/>
      <w:bookmarkStart w:id="2" w:name="OLE_LINK14"/>
      <w:bookmarkStart w:id="3" w:name="OLE_LINK17"/>
      <w:bookmarkStart w:id="4" w:name="OLE_LINK16"/>
      <w:r>
        <w:rPr>
          <w:rFonts w:hint="eastAsia" w:ascii="Arial" w:hAnsi="Arial" w:eastAsia="楷体" w:cs="Arial"/>
          <w:sz w:val="20"/>
          <w:szCs w:val="24"/>
        </w:rPr>
        <w:t>(</w:t>
      </w:r>
      <w:r>
        <w:rPr>
          <w:rFonts w:ascii="Arial" w:hAnsi="Arial" w:eastAsia="楷体" w:cs="Arial"/>
          <w:sz w:val="20"/>
          <w:szCs w:val="24"/>
        </w:rPr>
        <w:t>1)</w:t>
      </w:r>
      <w:bookmarkEnd w:id="0"/>
      <w:bookmarkEnd w:id="1"/>
      <w:bookmarkEnd w:id="2"/>
      <w:r>
        <w:rPr>
          <w:rFonts w:hint="eastAsia" w:ascii="Arial" w:hAnsi="Arial" w:eastAsia="楷体" w:cs="Arial"/>
          <w:sz w:val="20"/>
          <w:szCs w:val="24"/>
        </w:rPr>
        <w:t xml:space="preserve"> Tau acetylates and stabilizes beta-catenin thereby promoting cell survival., EMBO Reports, 2020, 21(3): 0-e48328 </w:t>
      </w:r>
    </w:p>
    <w:p>
      <w:pPr>
        <w:spacing w:line="360" w:lineRule="auto"/>
        <w:rPr>
          <w:rFonts w:ascii="Arial" w:hAnsi="Arial" w:eastAsia="楷体" w:cs="Arial"/>
          <w:sz w:val="20"/>
          <w:szCs w:val="24"/>
        </w:rPr>
      </w:pPr>
      <w:r>
        <w:rPr>
          <w:rFonts w:hint="eastAsia" w:ascii="Arial" w:hAnsi="Arial" w:eastAsia="楷体" w:cs="Arial"/>
          <w:sz w:val="20"/>
          <w:szCs w:val="24"/>
        </w:rPr>
        <w:t>(</w:t>
      </w:r>
      <w:r>
        <w:rPr>
          <w:rFonts w:ascii="Arial" w:hAnsi="Arial" w:eastAsia="楷体" w:cs="Arial"/>
          <w:sz w:val="20"/>
          <w:szCs w:val="24"/>
        </w:rPr>
        <w:t>2)</w:t>
      </w:r>
      <w:bookmarkEnd w:id="3"/>
      <w:bookmarkEnd w:id="4"/>
      <w:r>
        <w:rPr>
          <w:rFonts w:hint="eastAsia" w:ascii="Arial" w:hAnsi="Arial" w:eastAsia="楷体" w:cs="Arial"/>
          <w:sz w:val="20"/>
          <w:szCs w:val="24"/>
        </w:rPr>
        <w:t xml:space="preserve"> Human tau accumulation promotes glycogen synthase kinase-3β acetylation and thus upregulates the kinase: A vicious cycle in Alzheimer neurodegeneration, </w:t>
      </w:r>
      <w:bookmarkStart w:id="5" w:name="OLE_LINK18"/>
      <w:r>
        <w:rPr>
          <w:rFonts w:hint="eastAsia" w:ascii="Arial" w:hAnsi="Arial" w:eastAsia="楷体" w:cs="Arial"/>
          <w:sz w:val="20"/>
          <w:szCs w:val="24"/>
        </w:rPr>
        <w:t>EBioMedicine</w:t>
      </w:r>
      <w:bookmarkEnd w:id="5"/>
      <w:r>
        <w:rPr>
          <w:rFonts w:hint="eastAsia" w:ascii="Arial" w:hAnsi="Arial" w:eastAsia="楷体" w:cs="Arial"/>
          <w:sz w:val="20"/>
          <w:szCs w:val="24"/>
        </w:rPr>
        <w:t xml:space="preserve">, 2022, 78:0-103970 </w:t>
      </w:r>
    </w:p>
    <w:p>
      <w:pPr>
        <w:spacing w:line="360" w:lineRule="auto"/>
        <w:rPr>
          <w:rFonts w:ascii="Arial" w:hAnsi="Arial" w:eastAsia="楷体" w:cs="Arial"/>
          <w:sz w:val="20"/>
          <w:szCs w:val="24"/>
        </w:rPr>
      </w:pPr>
      <w:bookmarkStart w:id="6" w:name="OLE_LINK19"/>
      <w:r>
        <w:rPr>
          <w:rFonts w:hint="eastAsia" w:ascii="Arial" w:hAnsi="Arial" w:eastAsia="楷体" w:cs="Arial"/>
          <w:sz w:val="20"/>
          <w:szCs w:val="24"/>
        </w:rPr>
        <w:t>(</w:t>
      </w:r>
      <w:r>
        <w:rPr>
          <w:rFonts w:ascii="Arial" w:hAnsi="Arial" w:eastAsia="楷体" w:cs="Arial"/>
          <w:sz w:val="20"/>
          <w:szCs w:val="24"/>
        </w:rPr>
        <w:t>3)</w:t>
      </w:r>
      <w:bookmarkEnd w:id="6"/>
      <w:r>
        <w:rPr>
          <w:rFonts w:hint="eastAsia" w:ascii="Arial" w:hAnsi="Arial" w:eastAsia="楷体" w:cs="Arial"/>
          <w:sz w:val="20"/>
          <w:szCs w:val="24"/>
        </w:rPr>
        <w:t xml:space="preserve"> Alzheimer-like tau accumulation in dentate gyrus mossy cells induces spatial cognitive deficits by disrupting multiple memory-related signaling and inhibiting local neural circuit., AGING CELL, 2022, 0-e13600</w:t>
      </w:r>
    </w:p>
    <w:p>
      <w:pPr>
        <w:spacing w:line="360" w:lineRule="auto"/>
        <w:rPr>
          <w:rFonts w:ascii="Arial" w:hAnsi="Arial" w:eastAsia="楷体" w:cs="Arial"/>
          <w:sz w:val="20"/>
          <w:szCs w:val="24"/>
        </w:rPr>
      </w:pPr>
      <w:r>
        <w:rPr>
          <w:rFonts w:hint="eastAsia" w:ascii="Arial" w:hAnsi="Arial" w:eastAsia="楷体" w:cs="Arial"/>
          <w:sz w:val="20"/>
          <w:szCs w:val="24"/>
        </w:rPr>
        <w:t>(</w:t>
      </w:r>
      <w:r>
        <w:rPr>
          <w:rFonts w:ascii="Arial" w:hAnsi="Arial" w:eastAsia="楷体" w:cs="Arial"/>
          <w:sz w:val="20"/>
          <w:szCs w:val="24"/>
        </w:rPr>
        <w:t>4)</w:t>
      </w:r>
      <w:r>
        <w:rPr>
          <w:rFonts w:hint="eastAsia" w:ascii="Arial" w:hAnsi="Arial" w:eastAsia="楷体" w:cs="Arial"/>
          <w:sz w:val="20"/>
          <w:szCs w:val="24"/>
        </w:rPr>
        <w:t xml:space="preserve"> </w:t>
      </w:r>
      <w:r>
        <w:rPr>
          <w:rFonts w:ascii="Arial" w:hAnsi="Arial" w:eastAsia="楷体" w:cs="Arial"/>
          <w:sz w:val="20"/>
          <w:szCs w:val="24"/>
        </w:rPr>
        <w:t>Circular HDAC9/microRNA-138/Sirtuin-1 pathway mediates synaptic and amyloid precursor protein processing deficits in Alzheimer's disease.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Neuroscience Bulletin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(5), 877-888.</w:t>
      </w:r>
    </w:p>
    <w:p>
      <w:pPr>
        <w:spacing w:line="360" w:lineRule="auto"/>
        <w:rPr>
          <w:rFonts w:ascii="Arial" w:hAnsi="Arial" w:eastAsia="楷体" w:cs="Arial"/>
          <w:sz w:val="20"/>
          <w:szCs w:val="24"/>
        </w:rPr>
      </w:pPr>
      <w:r>
        <w:rPr>
          <w:rFonts w:hint="eastAsia" w:ascii="Arial" w:hAnsi="Arial" w:eastAsia="楷体" w:cs="Arial"/>
          <w:sz w:val="20"/>
          <w:szCs w:val="24"/>
        </w:rPr>
        <w:t>(</w:t>
      </w:r>
      <w:r>
        <w:rPr>
          <w:rFonts w:ascii="Arial" w:hAnsi="Arial" w:eastAsia="楷体" w:cs="Arial"/>
          <w:sz w:val="20"/>
          <w:szCs w:val="24"/>
        </w:rPr>
        <w:t>5)</w:t>
      </w:r>
      <w:r>
        <w:rPr>
          <w:rFonts w:hint="eastAsia" w:ascii="Arial" w:hAnsi="Arial" w:eastAsia="楷体" w:cs="Arial"/>
          <w:sz w:val="20"/>
          <w:szCs w:val="24"/>
        </w:rPr>
        <w:t xml:space="preserve"> Intracellular accumulation of tau inhibits autophagosome formation by activating TIA1-amino acid-mTORC1 signaling, </w:t>
      </w:r>
      <w:bookmarkStart w:id="7" w:name="OLE_LINK12"/>
      <w:r>
        <w:rPr>
          <w:rFonts w:hint="eastAsia" w:ascii="Arial" w:hAnsi="Arial" w:eastAsia="楷体" w:cs="Arial"/>
          <w:sz w:val="20"/>
          <w:szCs w:val="24"/>
        </w:rPr>
        <w:t>Military Medical Research</w:t>
      </w:r>
      <w:bookmarkEnd w:id="7"/>
      <w:r>
        <w:rPr>
          <w:rFonts w:hint="eastAsia" w:ascii="Arial" w:hAnsi="Arial" w:eastAsia="楷体" w:cs="Arial"/>
          <w:sz w:val="20"/>
          <w:szCs w:val="24"/>
        </w:rPr>
        <w:t>, 2022, 9(1)</w:t>
      </w:r>
      <w:r>
        <w:rPr>
          <w:rFonts w:hint="eastAsia" w:ascii="Times New Roman" w:hAnsi="Times New Roman" w:eastAsia="宋体" w:cs="Times New Roman"/>
          <w:sz w:val="16"/>
          <w:szCs w:val="24"/>
        </w:rPr>
        <w:t xml:space="preserve"> </w:t>
      </w:r>
    </w:p>
    <w:p>
      <w:pPr>
        <w:spacing w:line="360" w:lineRule="auto"/>
        <w:rPr>
          <w:rFonts w:ascii="Arial" w:hAnsi="Arial" w:eastAsia="楷体" w:cs="Arial"/>
          <w:sz w:val="20"/>
          <w:szCs w:val="24"/>
        </w:rPr>
      </w:pPr>
      <w:bookmarkStart w:id="8" w:name="OLE_LINK20"/>
      <w:r>
        <w:rPr>
          <w:rFonts w:hint="eastAsia" w:ascii="Arial" w:hAnsi="Arial" w:eastAsia="楷体" w:cs="Arial"/>
          <w:sz w:val="20"/>
          <w:szCs w:val="24"/>
        </w:rPr>
        <w:t>(</w:t>
      </w:r>
      <w:r>
        <w:rPr>
          <w:rFonts w:ascii="Arial" w:hAnsi="Arial" w:eastAsia="楷体" w:cs="Arial"/>
          <w:sz w:val="20"/>
          <w:szCs w:val="24"/>
        </w:rPr>
        <w:t>6)</w:t>
      </w:r>
      <w:bookmarkEnd w:id="8"/>
      <w:r>
        <w:rPr>
          <w:rFonts w:hint="eastAsia" w:ascii="Arial" w:hAnsi="Arial" w:eastAsia="楷体" w:cs="Arial"/>
          <w:sz w:val="20"/>
          <w:szCs w:val="24"/>
        </w:rPr>
        <w:t xml:space="preserve"> Enriched gestation activates the IGF pathway to evoke embryo-adult benefits to prevent Alzheimer's disease, </w:t>
      </w:r>
      <w:bookmarkStart w:id="9" w:name="OLE_LINK21"/>
      <w:r>
        <w:rPr>
          <w:rFonts w:hint="eastAsia" w:ascii="Arial" w:hAnsi="Arial" w:eastAsia="楷体" w:cs="Arial"/>
          <w:sz w:val="20"/>
          <w:szCs w:val="24"/>
        </w:rPr>
        <w:t>Translational Neurodegeneration</w:t>
      </w:r>
      <w:bookmarkEnd w:id="9"/>
      <w:r>
        <w:rPr>
          <w:rFonts w:hint="eastAsia" w:ascii="Arial" w:hAnsi="Arial" w:eastAsia="楷体" w:cs="Arial"/>
          <w:sz w:val="20"/>
          <w:szCs w:val="24"/>
        </w:rPr>
        <w:t>, 2019, 8: 0-8</w:t>
      </w:r>
    </w:p>
    <w:p>
      <w:pPr>
        <w:spacing w:line="360" w:lineRule="auto"/>
        <w:rPr>
          <w:rFonts w:ascii="Arial" w:hAnsi="Arial" w:eastAsia="楷体" w:cs="Arial"/>
          <w:sz w:val="20"/>
          <w:szCs w:val="24"/>
        </w:rPr>
      </w:pPr>
      <w:r>
        <w:rPr>
          <w:rFonts w:ascii="Arial" w:hAnsi="Arial" w:eastAsia="楷体" w:cs="Arial"/>
          <w:sz w:val="20"/>
          <w:szCs w:val="24"/>
        </w:rPr>
        <w:t>(7) Phloretin enhances</w:t>
      </w:r>
      <w:r>
        <w:rPr>
          <w:rFonts w:hint="eastAsia" w:ascii="Arial" w:hAnsi="Arial" w:eastAsia="楷体" w:cs="Arial"/>
          <w:sz w:val="20"/>
          <w:szCs w:val="24"/>
        </w:rPr>
        <w:t xml:space="preserve"> </w:t>
      </w:r>
      <w:r>
        <w:rPr>
          <w:rFonts w:ascii="Arial" w:hAnsi="Arial" w:eastAsia="楷体" w:cs="Arial"/>
          <w:sz w:val="20"/>
          <w:szCs w:val="24"/>
        </w:rPr>
        <w:t>autophagy by impairing AKT activation and inducing JNK-Beclin-1 pathway activation, Experimental</w:t>
      </w:r>
      <w:r>
        <w:rPr>
          <w:rFonts w:hint="eastAsia" w:ascii="Arial" w:hAnsi="Arial" w:eastAsia="楷体" w:cs="Arial"/>
          <w:sz w:val="20"/>
          <w:szCs w:val="24"/>
        </w:rPr>
        <w:t xml:space="preserve"> </w:t>
      </w:r>
      <w:r>
        <w:rPr>
          <w:rFonts w:ascii="Arial" w:hAnsi="Arial" w:eastAsia="楷体" w:cs="Arial"/>
          <w:sz w:val="20"/>
          <w:szCs w:val="24"/>
        </w:rPr>
        <w:t>and Molecular Pathology, 2022, 127: 104814-104814</w:t>
      </w:r>
    </w:p>
    <w:p>
      <w:pPr>
        <w:spacing w:line="360" w:lineRule="auto"/>
        <w:rPr>
          <w:rFonts w:ascii="Arial" w:hAnsi="Arial" w:eastAsia="楷体" w:cs="Arial"/>
          <w:sz w:val="20"/>
          <w:szCs w:val="24"/>
        </w:rPr>
      </w:pPr>
      <w:r>
        <w:rPr>
          <w:rFonts w:ascii="Arial" w:hAnsi="Arial" w:eastAsia="楷体" w:cs="Arial"/>
          <w:sz w:val="20"/>
          <w:szCs w:val="24"/>
        </w:rPr>
        <w:t>(8) Almitrine-Raubasine combination for dementia</w:t>
      </w:r>
      <w:r>
        <w:rPr>
          <w:rFonts w:hint="eastAsia" w:ascii="Arial" w:hAnsi="Arial" w:eastAsia="楷体" w:cs="Arial"/>
          <w:sz w:val="20"/>
          <w:szCs w:val="24"/>
        </w:rPr>
        <w:t>.</w:t>
      </w:r>
      <w:r>
        <w:rPr>
          <w:rFonts w:ascii="Arial" w:hAnsi="Arial" w:eastAsia="楷体" w:cs="Arial"/>
          <w:sz w:val="20"/>
          <w:szCs w:val="24"/>
        </w:rPr>
        <w:t xml:space="preserve"> </w:t>
      </w:r>
      <w:bookmarkStart w:id="10" w:name="OLE_LINK1"/>
      <w:bookmarkStart w:id="11" w:name="OLE_LINK4"/>
      <w:r>
        <w:rPr>
          <w:rFonts w:ascii="Arial" w:hAnsi="Arial" w:eastAsia="楷体" w:cs="Arial"/>
          <w:sz w:val="20"/>
          <w:szCs w:val="24"/>
        </w:rPr>
        <w:t>Cochrane Database Syst Rev</w:t>
      </w:r>
      <w:bookmarkEnd w:id="10"/>
      <w:bookmarkEnd w:id="11"/>
      <w:r>
        <w:rPr>
          <w:rFonts w:ascii="Arial" w:hAnsi="Arial" w:eastAsia="楷体" w:cs="Arial"/>
          <w:sz w:val="20"/>
          <w:szCs w:val="24"/>
        </w:rPr>
        <w:t>. 2011 Mar 16;(3):CD008068.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主要完成人员：刘恩杰，王雄，周秋至，王建枝，杨莹，赵莘瑜，杨伟民，李宏莲，范成河</w:t>
      </w: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主要完成单位：郑州大学，华中科技大学同济医学院附属同济医院，</w:t>
      </w:r>
      <w:bookmarkStart w:id="12" w:name="_GoBack"/>
      <w:bookmarkEnd w:id="12"/>
      <w:r>
        <w:rPr>
          <w:rFonts w:hint="eastAsia" w:ascii="宋体" w:hAnsi="宋体"/>
          <w:sz w:val="28"/>
          <w:szCs w:val="28"/>
        </w:rPr>
        <w:t>华中科技大学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MzQzMWU4M2UwNzgzYzEwOTg3NDIxNWIyN2ZmYjEifQ=="/>
  </w:docVars>
  <w:rsids>
    <w:rsidRoot w:val="00E4518F"/>
    <w:rsid w:val="00005DA1"/>
    <w:rsid w:val="00263B87"/>
    <w:rsid w:val="00330DCB"/>
    <w:rsid w:val="0034518B"/>
    <w:rsid w:val="003A38D2"/>
    <w:rsid w:val="003D47D9"/>
    <w:rsid w:val="00624BB5"/>
    <w:rsid w:val="0084339C"/>
    <w:rsid w:val="008F518E"/>
    <w:rsid w:val="00AF63D0"/>
    <w:rsid w:val="00B24CBE"/>
    <w:rsid w:val="00BA4484"/>
    <w:rsid w:val="00C70F68"/>
    <w:rsid w:val="00D576D0"/>
    <w:rsid w:val="00DF7C05"/>
    <w:rsid w:val="00E40F9A"/>
    <w:rsid w:val="00E4518F"/>
    <w:rsid w:val="3488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1294</Characters>
  <Lines>10</Lines>
  <Paragraphs>2</Paragraphs>
  <TotalTime>3</TotalTime>
  <ScaleCrop>false</ScaleCrop>
  <LinksUpToDate>false</LinksUpToDate>
  <CharactersWithSpaces>1443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2023-04-24T02:24:00Z</dcterms:created>
  <dc:creator>liuenjie</dc:creator>
  <cp:lastModifiedBy>KYC</cp:lastModifiedBy>
  <dcterms:modified xsi:type="dcterms:W3CDTF">2023-04-24T02:39:04Z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FE5197C4E6804FCAA4B74D14A5913EA9_12</vt:lpwstr>
  </property>
</Properties>
</file>